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outlineLvl w:val="1"/>
        <w:rPr>
          <w:rFonts w:hint="eastAsia" w:ascii="仿宋" w:hAnsi="仿宋" w:eastAsia="仿宋" w:cs="宋体"/>
          <w:b/>
          <w:kern w:val="2"/>
          <w:sz w:val="28"/>
          <w:szCs w:val="28"/>
          <w:lang w:val="en-US" w:eastAsia="zh-CN"/>
        </w:rPr>
      </w:pPr>
      <w:r>
        <w:rPr>
          <w:rFonts w:hint="eastAsia" w:ascii="仿宋" w:hAnsi="仿宋" w:eastAsia="仿宋" w:cs="宋体"/>
          <w:b/>
          <w:kern w:val="2"/>
          <w:sz w:val="28"/>
          <w:szCs w:val="28"/>
        </w:rPr>
        <w:t>附件</w:t>
      </w:r>
      <w:r>
        <w:rPr>
          <w:rFonts w:hint="eastAsia" w:ascii="仿宋" w:hAnsi="仿宋" w:eastAsia="仿宋" w:cs="宋体"/>
          <w:b/>
          <w:kern w:val="2"/>
          <w:sz w:val="28"/>
          <w:szCs w:val="28"/>
          <w:lang w:val="en-US" w:eastAsia="zh-CN"/>
        </w:rPr>
        <w:t>2</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四川省体育彩票管理中心</w:t>
      </w:r>
      <w:r>
        <w:rPr>
          <w:rFonts w:hint="eastAsia" w:ascii="宋体" w:hAnsi="宋体" w:eastAsia="宋体" w:cs="Times New Roman"/>
          <w:b/>
          <w:bCs/>
          <w:sz w:val="36"/>
          <w:szCs w:val="36"/>
          <w:lang w:val="en-US" w:eastAsia="zh-CN"/>
        </w:rPr>
        <w:t>眉山</w:t>
      </w:r>
      <w:r>
        <w:rPr>
          <w:rFonts w:hint="eastAsia" w:ascii="宋体" w:hAnsi="宋体" w:eastAsia="宋体" w:cs="Times New Roman"/>
          <w:b/>
          <w:bCs/>
          <w:sz w:val="36"/>
          <w:szCs w:val="36"/>
        </w:rPr>
        <w:t>分中心</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202</w:t>
      </w:r>
      <w:r>
        <w:rPr>
          <w:rFonts w:hint="eastAsia" w:ascii="宋体" w:hAnsi="宋体" w:cs="Times New Roman"/>
          <w:b/>
          <w:bCs/>
          <w:sz w:val="36"/>
          <w:szCs w:val="36"/>
          <w:lang w:val="en-US" w:eastAsia="zh-CN"/>
        </w:rPr>
        <w:t>3</w:t>
      </w:r>
      <w:r>
        <w:rPr>
          <w:rFonts w:hint="eastAsia" w:ascii="宋体" w:hAnsi="宋体" w:eastAsia="宋体" w:cs="Times New Roman"/>
          <w:b/>
          <w:bCs/>
          <w:sz w:val="36"/>
          <w:szCs w:val="36"/>
        </w:rPr>
        <w:t>年洪雅县公交站台候车亭灯箱广告宣传</w:t>
      </w:r>
      <w:r>
        <w:rPr>
          <w:rFonts w:hint="eastAsia" w:ascii="宋体" w:hAnsi="宋体" w:cs="Times New Roman"/>
          <w:b/>
          <w:bCs/>
          <w:sz w:val="36"/>
          <w:szCs w:val="36"/>
          <w:lang w:val="en-US" w:eastAsia="zh-CN"/>
        </w:rPr>
        <w:t>采购</w:t>
      </w:r>
      <w:r>
        <w:rPr>
          <w:rFonts w:hint="eastAsia" w:ascii="宋体" w:hAnsi="宋体" w:eastAsia="宋体" w:cs="Times New Roman"/>
          <w:b/>
          <w:bCs/>
          <w:sz w:val="36"/>
          <w:szCs w:val="36"/>
        </w:rPr>
        <w:t>项目</w:t>
      </w:r>
    </w:p>
    <w:tbl>
      <w:tblPr>
        <w:tblStyle w:val="10"/>
        <w:tblW w:w="11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2718"/>
        <w:gridCol w:w="2983"/>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029" w:type="dxa"/>
            <w:gridSpan w:val="4"/>
            <w:noWrap w:val="0"/>
            <w:vAlign w:val="center"/>
          </w:tcPr>
          <w:p>
            <w:pPr>
              <w:snapToGrid w:val="0"/>
              <w:spacing w:line="240" w:lineRule="auto"/>
              <w:jc w:val="center"/>
              <w:rPr>
                <w:rFonts w:hint="default" w:ascii="宋体" w:hAnsi="宋体" w:eastAsia="宋体" w:cs="Times New Roman"/>
                <w:color w:val="000000"/>
                <w:sz w:val="28"/>
                <w:szCs w:val="28"/>
                <w:lang w:val="en-US" w:eastAsia="zh-CN"/>
              </w:rPr>
            </w:pPr>
            <w:r>
              <w:rPr>
                <w:rFonts w:hint="eastAsia" w:ascii="宋体" w:hAnsi="宋体" w:eastAsia="宋体" w:cs="Times New Roman"/>
                <w:b/>
                <w:bCs/>
                <w:color w:val="000000"/>
                <w:sz w:val="28"/>
                <w:szCs w:val="28"/>
                <w:lang w:val="en-US" w:eastAsia="zh-CN"/>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29" w:type="dxa"/>
            <w:noWrap w:val="0"/>
            <w:vAlign w:val="center"/>
          </w:tcPr>
          <w:p>
            <w:pPr>
              <w:snapToGrid w:val="0"/>
              <w:spacing w:line="240" w:lineRule="auto"/>
              <w:jc w:val="center"/>
              <w:rPr>
                <w:rFonts w:ascii="宋体" w:hAnsi="宋体"/>
                <w:b/>
                <w:color w:val="000000"/>
                <w:sz w:val="24"/>
              </w:rPr>
            </w:pPr>
            <w:r>
              <w:rPr>
                <w:rFonts w:hint="eastAsia" w:ascii="宋体" w:hAnsi="宋体"/>
                <w:b/>
                <w:color w:val="000000"/>
                <w:sz w:val="24"/>
              </w:rPr>
              <w:t>项目名称</w:t>
            </w:r>
          </w:p>
        </w:tc>
        <w:tc>
          <w:tcPr>
            <w:tcW w:w="8600" w:type="dxa"/>
            <w:gridSpan w:val="3"/>
            <w:noWrap w:val="0"/>
            <w:vAlign w:val="center"/>
          </w:tcPr>
          <w:p>
            <w:pPr>
              <w:snapToGrid w:val="0"/>
              <w:spacing w:line="240" w:lineRule="auto"/>
              <w:jc w:val="center"/>
              <w:rPr>
                <w:rFonts w:hint="eastAsia" w:ascii="宋体" w:hAnsi="宋体"/>
                <w:color w:val="000000"/>
                <w:sz w:val="28"/>
                <w:szCs w:val="28"/>
              </w:rPr>
            </w:pPr>
            <w:r>
              <w:rPr>
                <w:rFonts w:hint="eastAsia" w:ascii="宋体" w:hAnsi="宋体"/>
                <w:color w:val="000000"/>
                <w:sz w:val="28"/>
                <w:szCs w:val="28"/>
              </w:rPr>
              <w:t>四川省体育彩票管理中心眉山分中心</w:t>
            </w:r>
          </w:p>
          <w:p>
            <w:pPr>
              <w:snapToGrid w:val="0"/>
              <w:spacing w:line="240" w:lineRule="auto"/>
              <w:jc w:val="center"/>
              <w:rPr>
                <w:rFonts w:ascii="宋体" w:hAnsi="宋体"/>
                <w:color w:val="000000"/>
                <w:sz w:val="24"/>
              </w:rPr>
            </w:pPr>
            <w:r>
              <w:rPr>
                <w:rFonts w:hint="eastAsia" w:ascii="宋体" w:hAnsi="宋体"/>
                <w:color w:val="000000"/>
                <w:sz w:val="28"/>
                <w:szCs w:val="28"/>
                <w:lang w:val="en-US" w:eastAsia="zh-CN"/>
              </w:rPr>
              <w:t>2023年洪雅县公交站台候车厅灯箱广告宣传</w:t>
            </w:r>
            <w:r>
              <w:rPr>
                <w:rFonts w:hint="eastAsia" w:ascii="宋体" w:hAnsi="宋体" w:eastAsia="宋体" w:cs="Times New Roman"/>
                <w:color w:val="000000"/>
                <w:sz w:val="28"/>
                <w:szCs w:val="28"/>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29" w:type="dxa"/>
            <w:noWrap w:val="0"/>
            <w:vAlign w:val="center"/>
          </w:tcPr>
          <w:p>
            <w:pPr>
              <w:jc w:val="center"/>
              <w:rPr>
                <w:rFonts w:ascii="Times New Roman" w:hAnsi="Times New Roman" w:cs="Times New Roman"/>
                <w:b/>
                <w:color w:val="000000"/>
                <w:sz w:val="24"/>
              </w:rPr>
            </w:pPr>
            <w:r>
              <w:rPr>
                <w:rFonts w:hint="eastAsia" w:ascii="宋体" w:hAnsi="宋体"/>
                <w:b/>
                <w:color w:val="000000"/>
                <w:sz w:val="24"/>
              </w:rPr>
              <w:t>项目总预算</w:t>
            </w:r>
          </w:p>
        </w:tc>
        <w:tc>
          <w:tcPr>
            <w:tcW w:w="2718" w:type="dxa"/>
            <w:noWrap w:val="0"/>
            <w:vAlign w:val="center"/>
          </w:tcPr>
          <w:p>
            <w:pPr>
              <w:jc w:val="center"/>
              <w:rPr>
                <w:rFonts w:hint="default" w:ascii="Times New Roman" w:hAnsi="Times New Roman" w:cs="Times New Roman"/>
                <w:color w:val="000000"/>
                <w:sz w:val="24"/>
                <w:lang w:val="en-US"/>
              </w:rPr>
            </w:pPr>
            <w:r>
              <w:rPr>
                <w:rFonts w:hint="eastAsia" w:ascii="宋体" w:hAnsi="宋体" w:cs="Times New Roman"/>
                <w:color w:val="000000"/>
                <w:sz w:val="28"/>
                <w:szCs w:val="28"/>
                <w:lang w:val="en-US" w:eastAsia="zh-CN"/>
              </w:rPr>
              <w:t>30</w:t>
            </w:r>
            <w:r>
              <w:rPr>
                <w:rFonts w:hint="eastAsia" w:ascii="宋体" w:hAnsi="宋体" w:eastAsia="宋体" w:cs="Times New Roman"/>
                <w:color w:val="000000"/>
                <w:sz w:val="28"/>
                <w:szCs w:val="28"/>
                <w:lang w:val="en-US" w:eastAsia="zh-CN"/>
              </w:rPr>
              <w:t>000元</w:t>
            </w:r>
          </w:p>
        </w:tc>
        <w:tc>
          <w:tcPr>
            <w:tcW w:w="2983" w:type="dxa"/>
            <w:noWrap w:val="0"/>
            <w:vAlign w:val="center"/>
          </w:tcPr>
          <w:p>
            <w:pPr>
              <w:jc w:val="center"/>
              <w:rPr>
                <w:rFonts w:ascii="Times New Roman" w:hAnsi="Times New Roman" w:cs="Times New Roman"/>
                <w:color w:val="000000"/>
                <w:sz w:val="24"/>
              </w:rPr>
            </w:pPr>
            <w:r>
              <w:rPr>
                <w:rFonts w:hint="eastAsia" w:ascii="宋体" w:hAnsi="宋体"/>
                <w:b/>
                <w:color w:val="000000"/>
                <w:sz w:val="24"/>
              </w:rPr>
              <w:t>项目最高限价</w:t>
            </w:r>
          </w:p>
        </w:tc>
        <w:tc>
          <w:tcPr>
            <w:tcW w:w="2899" w:type="dxa"/>
            <w:noWrap w:val="0"/>
            <w:vAlign w:val="center"/>
          </w:tcPr>
          <w:p>
            <w:pPr>
              <w:jc w:val="center"/>
              <w:rPr>
                <w:rFonts w:hint="default" w:ascii="Times New Roman" w:hAnsi="Times New Roman" w:cs="Times New Roman"/>
                <w:color w:val="000000"/>
                <w:sz w:val="24"/>
                <w:lang w:val="en-US"/>
              </w:rPr>
            </w:pPr>
            <w:r>
              <w:rPr>
                <w:rFonts w:hint="eastAsia" w:ascii="宋体" w:hAnsi="宋体" w:cs="Times New Roman"/>
                <w:color w:val="000000"/>
                <w:sz w:val="28"/>
                <w:szCs w:val="28"/>
                <w:lang w:val="en-US" w:eastAsia="zh-CN"/>
              </w:rPr>
              <w:t>30</w:t>
            </w:r>
            <w:r>
              <w:rPr>
                <w:rFonts w:hint="eastAsia" w:ascii="宋体" w:hAnsi="宋体" w:eastAsia="宋体" w:cs="Times New Roman"/>
                <w:color w:val="000000"/>
                <w:sz w:val="28"/>
                <w:szCs w:val="28"/>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29" w:type="dxa"/>
            <w:noWrap w:val="0"/>
            <w:vAlign w:val="center"/>
          </w:tcPr>
          <w:p>
            <w:pPr>
              <w:spacing w:line="240" w:lineRule="auto"/>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8600" w:type="dxa"/>
            <w:gridSpan w:val="3"/>
            <w:noWrap w:val="0"/>
            <w:vAlign w:val="center"/>
          </w:tcPr>
          <w:p>
            <w:pPr>
              <w:spacing w:line="240" w:lineRule="auto"/>
              <w:jc w:val="center"/>
              <w:rPr>
                <w:rFonts w:ascii="Times New Roman" w:hAnsi="Times New Roman" w:cs="Times New Roman"/>
                <w:color w:val="000000"/>
                <w:sz w:val="24"/>
              </w:rPr>
            </w:pPr>
            <w:r>
              <w:rPr>
                <w:rFonts w:ascii="Times New Roman" w:hAnsi="Times New Roman" w:cs="Times New Roman"/>
                <w:color w:val="000000"/>
                <w:sz w:val="24"/>
              </w:rPr>
              <w:t>低价中选（</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        综合评分（</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29" w:type="dxa"/>
            <w:gridSpan w:val="4"/>
            <w:noWrap w:val="0"/>
            <w:vAlign w:val="center"/>
          </w:tcPr>
          <w:p>
            <w:pPr>
              <w:snapToGrid w:val="0"/>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Times New Roman"/>
                <w:b/>
                <w:bCs/>
                <w:color w:val="000000"/>
                <w:sz w:val="28"/>
                <w:szCs w:val="28"/>
                <w:lang w:val="en-US" w:eastAsia="zh-CN"/>
              </w:rPr>
              <w:t>一、项目概述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029"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Times New Roman" w:hAnsi="Times New Roman" w:eastAsia="仿宋" w:cs="Times New Roman"/>
                <w:color w:val="000000"/>
                <w:szCs w:val="21"/>
                <w:lang w:val="en-US" w:eastAsia="zh-CN"/>
              </w:rPr>
            </w:pPr>
            <w:r>
              <w:rPr>
                <w:rFonts w:hint="eastAsia" w:ascii="宋体" w:hAnsi="宋体" w:eastAsia="宋体" w:cs="Times New Roman"/>
                <w:bCs/>
                <w:color w:val="000000"/>
                <w:sz w:val="24"/>
                <w:lang w:val="en-US" w:eastAsia="zh-CN"/>
              </w:rPr>
              <w:t>为贯彻“建设负责任、可信赖、高质量发展的国家公益彩票”的发展目标，传递中国体育彩票责任、公益等品牌价值观，提升本地区体彩品牌知名度和体彩公益知晓度，扩大客群规模和优化客群结构，助力眉山体彩高质量发展，结合分中心宣传工作需求，拟采购4个公交站台候车亭灯箱广告点位投放，每个采购时长6个月，现需通过比选方式确定眉山分中心2023年洪雅县公交站台候车亭灯箱广告宣传服务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029" w:type="dxa"/>
            <w:gridSpan w:val="4"/>
            <w:noWrap w:val="0"/>
            <w:vAlign w:val="top"/>
          </w:tcPr>
          <w:p>
            <w:pPr>
              <w:spacing w:line="360" w:lineRule="auto"/>
              <w:jc w:val="center"/>
              <w:rPr>
                <w:rFonts w:ascii="Times New Roman" w:hAnsi="Times New Roman" w:cs="Times New Roman"/>
              </w:rPr>
            </w:pPr>
            <w:r>
              <w:rPr>
                <w:rFonts w:hint="eastAsia" w:ascii="宋体" w:hAnsi="宋体" w:eastAsia="宋体" w:cs="Times New Roman"/>
                <w:b/>
                <w:bCs/>
                <w:color w:val="000000"/>
                <w:sz w:val="28"/>
                <w:szCs w:val="28"/>
                <w:lang w:val="en-US" w:eastAsia="zh-CN"/>
              </w:rPr>
              <w:t>二、项目技术（服务）需求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1029"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（一）总体要求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供应商应具有公交站台候车亭灯箱广告的合法经营运作权，提供选择位置应包括但不限于洪雅县主</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城区修文路、青衣路、志远路、文昌路、禾森大道、广场南路等人流量大、居民小区多、附近无大型遮挡物的显著位置，能提供选择位置不少于1</w:t>
            </w:r>
            <w:r>
              <w:rPr>
                <w:rFonts w:hint="eastAsia" w:ascii="宋体" w:hAnsi="宋体" w:cs="Times New Roman"/>
                <w:bCs/>
                <w:color w:val="000000"/>
                <w:sz w:val="24"/>
                <w:lang w:val="en-US" w:eastAsia="zh-CN"/>
              </w:rPr>
              <w:t>2</w:t>
            </w:r>
            <w:r>
              <w:rPr>
                <w:rFonts w:hint="eastAsia" w:ascii="宋体" w:hAnsi="宋体" w:eastAsia="宋体" w:cs="Times New Roman"/>
                <w:bCs/>
                <w:color w:val="000000"/>
                <w:sz w:val="24"/>
                <w:lang w:val="en-US" w:eastAsia="zh-CN"/>
              </w:rPr>
              <w:t>个，最终以比选结果和实际执行为准。</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*供应商需单独提供发布公交站台候车厅灯箱广告的详细点位路段位置信息，如未提供或提供选择位置的数量不符合要求的则视为无效参选。</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（二）采购需求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cs="Times New Roman"/>
                <w:bCs/>
                <w:color w:val="000000"/>
                <w:sz w:val="24"/>
                <w:lang w:val="en-US" w:eastAsia="zh-CN"/>
              </w:rPr>
            </w:pPr>
            <w:r>
              <w:rPr>
                <w:rFonts w:hint="eastAsia" w:ascii="宋体" w:hAnsi="宋体" w:eastAsia="宋体" w:cs="Times New Roman"/>
                <w:bCs/>
                <w:color w:val="000000"/>
                <w:sz w:val="24"/>
                <w:lang w:val="en-US" w:eastAsia="zh-CN"/>
              </w:rPr>
              <w:t>1.采购数量：</w:t>
            </w:r>
            <w:r>
              <w:rPr>
                <w:rFonts w:hint="eastAsia" w:ascii="宋体" w:hAnsi="宋体" w:cs="Times New Roman"/>
                <w:bCs/>
                <w:color w:val="000000"/>
                <w:sz w:val="24"/>
                <w:lang w:val="en-US" w:eastAsia="zh-CN"/>
              </w:rPr>
              <w:t>公交站台候车厅灯箱广告点位4个</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sz w:val="24"/>
                <w:szCs w:val="24"/>
              </w:rPr>
            </w:pPr>
            <w:r>
              <w:rPr>
                <w:rFonts w:hint="eastAsia" w:ascii="宋体" w:hAnsi="宋体" w:cs="Times New Roman"/>
                <w:bCs/>
                <w:color w:val="000000"/>
                <w:sz w:val="24"/>
                <w:lang w:val="en-US" w:eastAsia="zh-CN"/>
              </w:rPr>
              <w:t>2.</w:t>
            </w:r>
            <w:r>
              <w:rPr>
                <w:rFonts w:hint="eastAsia"/>
                <w:sz w:val="24"/>
                <w:szCs w:val="24"/>
              </w:rPr>
              <w:t>根据采购方发布需求，每</w:t>
            </w:r>
            <w:r>
              <w:rPr>
                <w:rFonts w:hint="eastAsia"/>
                <w:sz w:val="24"/>
                <w:szCs w:val="24"/>
                <w:lang w:val="en-US" w:eastAsia="zh-CN"/>
              </w:rPr>
              <w:t>个</w:t>
            </w:r>
            <w:r>
              <w:rPr>
                <w:rFonts w:hint="eastAsia" w:ascii="宋体" w:hAnsi="宋体" w:cs="Times New Roman"/>
                <w:bCs/>
                <w:color w:val="000000"/>
                <w:sz w:val="24"/>
                <w:lang w:val="en-US" w:eastAsia="zh-CN"/>
              </w:rPr>
              <w:t>公交站台候车厅灯箱广告点位</w:t>
            </w:r>
            <w:r>
              <w:rPr>
                <w:rFonts w:hint="eastAsia"/>
                <w:sz w:val="24"/>
                <w:szCs w:val="24"/>
              </w:rPr>
              <w:t>连续</w:t>
            </w:r>
            <w:r>
              <w:rPr>
                <w:rFonts w:hint="eastAsia"/>
                <w:sz w:val="24"/>
                <w:szCs w:val="24"/>
                <w:lang w:val="en-US" w:eastAsia="zh-CN"/>
              </w:rPr>
              <w:t>投放</w:t>
            </w:r>
            <w:r>
              <w:rPr>
                <w:rFonts w:hint="eastAsia"/>
                <w:sz w:val="24"/>
                <w:szCs w:val="24"/>
              </w:rPr>
              <w:t>使用，</w:t>
            </w:r>
            <w:r>
              <w:rPr>
                <w:sz w:val="24"/>
                <w:szCs w:val="24"/>
              </w:rPr>
              <w:t>总使用</w:t>
            </w:r>
            <w:r>
              <w:rPr>
                <w:rFonts w:hint="eastAsia"/>
                <w:sz w:val="24"/>
                <w:szCs w:val="24"/>
                <w:lang w:val="en-US" w:eastAsia="zh-CN"/>
              </w:rPr>
              <w:t>时长6</w:t>
            </w:r>
            <w:r>
              <w:rPr>
                <w:rFonts w:hint="eastAsia"/>
                <w:sz w:val="24"/>
                <w:szCs w:val="24"/>
              </w:rPr>
              <w:t>个月</w:t>
            </w:r>
            <w:r>
              <w:rPr>
                <w:sz w:val="24"/>
                <w:szCs w:val="24"/>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sz w:val="24"/>
                <w:szCs w:val="24"/>
                <w:lang w:val="en-US"/>
              </w:rPr>
            </w:pPr>
            <w:r>
              <w:rPr>
                <w:rFonts w:hint="eastAsia"/>
                <w:sz w:val="24"/>
                <w:szCs w:val="24"/>
                <w:lang w:val="en-US" w:eastAsia="zh-CN"/>
              </w:rPr>
              <w:t>3</w:t>
            </w:r>
            <w:r>
              <w:rPr>
                <w:rFonts w:hint="eastAsia" w:ascii="宋体" w:hAnsi="宋体"/>
                <w:sz w:val="24"/>
                <w:lang w:val="en-US" w:eastAsia="zh-CN"/>
              </w:rPr>
              <w:t>.</w:t>
            </w:r>
            <w:r>
              <w:rPr>
                <w:rFonts w:hint="eastAsia"/>
                <w:sz w:val="24"/>
                <w:szCs w:val="24"/>
              </w:rPr>
              <w:t>规</w:t>
            </w:r>
            <w:r>
              <w:rPr>
                <w:rFonts w:hint="eastAsia" w:ascii="Times New Roman" w:hAnsi="Times New Roman" w:eastAsia="宋体" w:cs="Times New Roman"/>
                <w:sz w:val="24"/>
                <w:szCs w:val="24"/>
                <w:lang w:val="en-US" w:eastAsia="zh-CN"/>
              </w:rPr>
              <w:t>格：</w:t>
            </w:r>
            <w:r>
              <w:rPr>
                <w:rFonts w:hint="eastAsia" w:ascii="宋体" w:hAnsi="宋体" w:cs="Times New Roman"/>
                <w:bCs/>
                <w:color w:val="000000"/>
                <w:sz w:val="24"/>
                <w:lang w:val="en-US" w:eastAsia="zh-CN"/>
              </w:rPr>
              <w:t>每个公交站台候车厅灯箱广告点位画面尺寸不小于3.2米（宽）*1.2米（长），每个广告点位画面为双面投放使用，照明时长不低于3小时/日。</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（三）发布需求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1</w:t>
            </w:r>
            <w:r>
              <w:rPr>
                <w:rFonts w:hint="eastAsia" w:ascii="宋体" w:hAnsi="宋体" w:eastAsia="宋体" w:cs="Times New Roman"/>
                <w:bCs/>
                <w:color w:val="000000"/>
                <w:sz w:val="24"/>
                <w:lang w:val="en-US" w:eastAsia="zh-CN"/>
              </w:rPr>
              <w:t>.发布时间：</w:t>
            </w:r>
            <w:r>
              <w:rPr>
                <w:rFonts w:hint="eastAsia" w:ascii="Times New Roman" w:hAnsi="Times New Roman" w:eastAsia="宋体" w:cs="Times New Roman"/>
                <w:sz w:val="24"/>
                <w:szCs w:val="24"/>
                <w:lang w:eastAsia="zh-CN"/>
              </w:rPr>
              <w:t>2023</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月</w:t>
            </w:r>
            <w:r>
              <w:rPr>
                <w:rFonts w:hint="eastAsia" w:cs="Times New Roman"/>
                <w:sz w:val="24"/>
                <w:szCs w:val="24"/>
                <w:lang w:val="en-US" w:eastAsia="zh-CN"/>
              </w:rPr>
              <w:t>10日—2023年</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月</w:t>
            </w:r>
            <w:r>
              <w:rPr>
                <w:rFonts w:hint="eastAsia" w:cs="Times New Roman"/>
                <w:sz w:val="24"/>
                <w:szCs w:val="24"/>
                <w:lang w:val="en-US" w:eastAsia="zh-CN"/>
              </w:rPr>
              <w:t>10日</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具体</w:t>
            </w:r>
            <w:r>
              <w:rPr>
                <w:rFonts w:hint="eastAsia" w:ascii="Times New Roman" w:hAnsi="Times New Roman" w:eastAsia="宋体" w:cs="Times New Roman"/>
                <w:sz w:val="24"/>
                <w:szCs w:val="24"/>
                <w:lang w:eastAsia="zh-CN"/>
              </w:rPr>
              <w:t>执行</w:t>
            </w:r>
            <w:r>
              <w:rPr>
                <w:rFonts w:hint="eastAsia" w:ascii="Times New Roman" w:hAnsi="Times New Roman" w:eastAsia="宋体" w:cs="Times New Roman"/>
                <w:sz w:val="24"/>
                <w:szCs w:val="24"/>
                <w:lang w:val="en-US" w:eastAsia="zh-CN"/>
              </w:rPr>
              <w:t>时间</w:t>
            </w:r>
            <w:r>
              <w:rPr>
                <w:rFonts w:hint="eastAsia" w:ascii="Times New Roman" w:hAnsi="Times New Roman" w:eastAsia="宋体" w:cs="Times New Roman"/>
                <w:sz w:val="24"/>
                <w:szCs w:val="24"/>
                <w:lang w:eastAsia="zh-CN"/>
              </w:rPr>
              <w:t>以合同签订</w:t>
            </w:r>
            <w:r>
              <w:rPr>
                <w:rFonts w:hint="eastAsia" w:ascii="Times New Roman" w:hAnsi="Times New Roman" w:eastAsia="宋体" w:cs="Times New Roman"/>
                <w:sz w:val="24"/>
                <w:szCs w:val="24"/>
                <w:lang w:val="en-US" w:eastAsia="zh-CN"/>
              </w:rPr>
              <w:t>后实际执行时间</w:t>
            </w:r>
            <w:r>
              <w:rPr>
                <w:rFonts w:hint="eastAsia" w:ascii="Times New Roman" w:hAnsi="Times New Roman" w:eastAsia="宋体" w:cs="Times New Roman"/>
                <w:sz w:val="24"/>
                <w:szCs w:val="24"/>
                <w:lang w:eastAsia="zh-CN"/>
              </w:rPr>
              <w:t>为准）</w:t>
            </w:r>
            <w:r>
              <w:rPr>
                <w:rFonts w:hint="eastAsia" w:cs="Times New Roman"/>
                <w:sz w:val="24"/>
                <w:szCs w:val="24"/>
                <w:lang w:val="en-US" w:eastAsia="zh-CN"/>
              </w:rPr>
              <w:t>，</w:t>
            </w:r>
            <w:r>
              <w:rPr>
                <w:rFonts w:hint="eastAsia" w:ascii="Times New Roman" w:hAnsi="Times New Roman" w:eastAsia="宋体" w:cs="Times New Roman"/>
                <w:sz w:val="24"/>
                <w:szCs w:val="24"/>
                <w:lang w:eastAsia="zh-CN"/>
              </w:rPr>
              <w:t>发布</w:t>
            </w:r>
            <w:r>
              <w:rPr>
                <w:rFonts w:hint="eastAsia" w:ascii="Times New Roman" w:hAnsi="Times New Roman" w:eastAsia="宋体" w:cs="Times New Roman"/>
                <w:sz w:val="24"/>
                <w:szCs w:val="24"/>
                <w:lang w:val="en-US" w:eastAsia="zh-CN"/>
              </w:rPr>
              <w:t>时长</w:t>
            </w:r>
            <w:r>
              <w:rPr>
                <w:rFonts w:hint="eastAsia" w:cs="Times New Roman"/>
                <w:sz w:val="24"/>
                <w:szCs w:val="24"/>
                <w:lang w:val="en-US" w:eastAsia="zh-CN"/>
              </w:rPr>
              <w:t>6</w:t>
            </w:r>
            <w:r>
              <w:rPr>
                <w:rFonts w:hint="eastAsia" w:ascii="Times New Roman" w:hAnsi="Times New Roman" w:eastAsia="宋体" w:cs="Times New Roman"/>
                <w:sz w:val="24"/>
                <w:szCs w:val="24"/>
                <w:lang w:val="en-US" w:eastAsia="zh-CN"/>
              </w:rPr>
              <w:t>个月</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cs="Times New Roman"/>
                <w:bCs/>
                <w:color w:val="000000"/>
                <w:sz w:val="24"/>
                <w:lang w:val="en-US" w:eastAsia="zh-CN"/>
              </w:rPr>
            </w:pPr>
            <w:r>
              <w:rPr>
                <w:rFonts w:hint="eastAsia" w:ascii="宋体" w:hAnsi="宋体" w:cs="Times New Roman"/>
                <w:bCs/>
                <w:color w:val="000000"/>
                <w:sz w:val="24"/>
                <w:lang w:val="en-US" w:eastAsia="zh-CN"/>
              </w:rPr>
              <w:t>2.发布内容：仅有采购方需求的发布内容，无其它任何无关内容。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3.发布区域：眉山市洪雅县</w:t>
            </w:r>
            <w:r>
              <w:rPr>
                <w:rFonts w:hint="eastAsia" w:asciiTheme="minorEastAsia" w:hAnsiTheme="minorEastAsia" w:eastAsiaTheme="minorEastAsia" w:cstheme="minorEastAsia"/>
                <w:sz w:val="24"/>
              </w:rPr>
              <w:t>行政范围内</w:t>
            </w:r>
            <w:r>
              <w:rPr>
                <w:rFonts w:hint="eastAsia" w:ascii="宋体" w:hAnsi="宋体" w:cs="Times New Roman"/>
                <w:bCs/>
                <w:color w:val="000000"/>
                <w:sz w:val="24"/>
                <w:lang w:val="en-US" w:eastAsia="zh-CN"/>
              </w:rPr>
              <w:t>主城区4个公交站台候车厅灯箱广告点位。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sz w:val="24"/>
                <w:szCs w:val="24"/>
                <w:lang w:val="en-US" w:eastAsia="zh-CN"/>
              </w:rPr>
            </w:pPr>
            <w:r>
              <w:rPr>
                <w:rFonts w:hint="eastAsia" w:ascii="宋体" w:hAnsi="宋体" w:cs="Times New Roman"/>
                <w:bCs/>
                <w:color w:val="000000"/>
                <w:sz w:val="24"/>
                <w:lang w:val="en-US" w:eastAsia="zh-CN"/>
              </w:rPr>
              <w:t>4.供应商须根据</w:t>
            </w:r>
            <w:r>
              <w:rPr>
                <w:rFonts w:hint="eastAsia"/>
                <w:sz w:val="24"/>
                <w:szCs w:val="24"/>
                <w:lang w:val="en-US" w:eastAsia="zh-CN"/>
              </w:rPr>
              <w:t>采购方每次提出的广告画面发布需求，免费对广告画面进行设计、制作、安装上刊服务。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lang w:val="en-US" w:eastAsia="zh-CN"/>
              </w:rPr>
            </w:pPr>
            <w:r>
              <w:rPr>
                <w:rFonts w:hint="eastAsia"/>
                <w:color w:val="FF0000"/>
                <w:sz w:val="24"/>
                <w:szCs w:val="24"/>
                <w:lang w:val="en-US" w:eastAsia="zh-CN"/>
              </w:rPr>
              <w:t>*每个公交站台候车厅灯箱广告点位双面广告画面每月更换次数不超过1次。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029" w:type="dxa"/>
            <w:gridSpan w:val="4"/>
            <w:noWrap w:val="0"/>
            <w:vAlign w:val="top"/>
          </w:tcPr>
          <w:p>
            <w:pPr>
              <w:pStyle w:val="20"/>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Times New Roman" w:eastAsia="宋体" w:cs="宋体"/>
                <w:kern w:val="2"/>
                <w:sz w:val="24"/>
                <w:szCs w:val="24"/>
                <w:lang w:val="en-US" w:eastAsia="zh-CN" w:bidi="ar-SA"/>
              </w:rPr>
            </w:pPr>
            <w:r>
              <w:rPr>
                <w:rFonts w:hint="eastAsia" w:ascii="宋体" w:hAnsi="宋体" w:eastAsia="宋体" w:cs="Times New Roman"/>
                <w:b/>
                <w:bCs/>
                <w:color w:val="000000"/>
                <w:sz w:val="28"/>
                <w:szCs w:val="28"/>
                <w:lang w:val="en-US" w:eastAsia="zh-CN"/>
              </w:rPr>
              <w:t>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1029"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（一）供应商应取得与项目对应的执行能力，并具有行业优势。</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（二）供应商须根据采购方需求免费设计宣传画面、上刊及日常维护。部份素材可由采购方提供，供应商在制作的宣</w:t>
            </w:r>
            <w:bookmarkStart w:id="0" w:name="_GoBack"/>
            <w:bookmarkEnd w:id="0"/>
            <w:r>
              <w:rPr>
                <w:rFonts w:hint="eastAsia" w:ascii="宋体" w:hAnsi="宋体" w:cs="Times New Roman"/>
                <w:bCs/>
                <w:color w:val="000000"/>
                <w:sz w:val="24"/>
                <w:lang w:val="en-US" w:eastAsia="zh-CN"/>
              </w:rPr>
              <w:t>传画面中所使用体彩的相关元素应符合体彩VI规范，宣传画面中不得包含非采购方的其它任何内容且符合相关法律法规，设计稿待采购方审核通过后才能制作投放。</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（三）为建立与采购人顺畅的沟通机制，投标人需明确由专人负责主动与采购人进行沟通，建立良好的沟通机制；合同签订前，供应商需授权一位员工，与采购方对接，经办具体相关事宜。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（四）在采购人提出项目服务需求时，供应商非工作日2小时内给予响应，工作日0.5小时内给予响应，1个自然日内完成宣传画面设计，3个自然日内完成广告发布。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（五）供应商须确保项目开展期内的所有安全工作，若出现任何问题，由供应商承担全部责任。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（六）供应商在发布宣传内容中不得侵犯任何第三方权益，由此引发的纠纷由供应商全权负责。</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pPr>
            <w:r>
              <w:rPr>
                <w:rFonts w:hint="eastAsia" w:ascii="宋体" w:hAnsi="宋体" w:cs="Times New Roman"/>
                <w:bCs/>
                <w:color w:val="000000"/>
                <w:sz w:val="24"/>
                <w:lang w:val="en-US" w:eastAsia="zh-CN"/>
              </w:rPr>
              <w:t>（七）本项目报价应是最终用户验收合格后的总价，包括广告发布费、设计费、制作费、安装费、运输费、人工费、维护费、税金、售后和参与项目比选所产生的其它一切费用，除本报价外，采购方不再支付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29" w:type="dxa"/>
            <w:gridSpan w:val="4"/>
            <w:noWrap w:val="0"/>
            <w:vAlign w:val="top"/>
          </w:tcPr>
          <w:p>
            <w:pPr>
              <w:keepNext w:val="0"/>
              <w:keepLines w:val="0"/>
              <w:widowControl/>
              <w:suppressLineNumbers w:val="0"/>
              <w:jc w:val="center"/>
              <w:rPr>
                <w:rFonts w:hint="eastAsia" w:ascii="宋体" w:hAnsi="宋体" w:eastAsia="宋体" w:cs="宋体"/>
                <w:b/>
                <w:bCs/>
                <w:kern w:val="0"/>
                <w:sz w:val="24"/>
                <w:szCs w:val="21"/>
                <w:lang w:val="en-US" w:eastAsia="zh-CN" w:bidi="ar-SA"/>
              </w:rPr>
            </w:pPr>
            <w:r>
              <w:rPr>
                <w:rFonts w:hint="eastAsia" w:ascii="宋体" w:hAnsi="宋体" w:eastAsia="宋体" w:cs="Times New Roman"/>
                <w:b/>
                <w:bCs/>
                <w:color w:val="000000"/>
                <w:sz w:val="28"/>
                <w:szCs w:val="28"/>
                <w:lang w:val="en-US" w:eastAsia="zh-CN"/>
              </w:rPr>
              <w:t>四、售后服务及付款方式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029"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（一）售后服务要求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1.验收不合格的设计画面，供应商应无条件进行重新制作；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2.项目开展期内，如出现画面破损、灯箱故障或人为损坏等，供应商应在3个自然日内恢复到位。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若因特殊情况或不可抗力影响，需经双方协商，可延长项目执行时间。</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3.广告发布或每次公交站台候车亭广告画面更换后，供应商均须提供上刊、执行中及下刊所有发布证明照片，照片横拍且内容能辨别街道名称或有明显标志物，每张照片下方须能清晰显示出日期及定位信息。</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4.合同期内，若发现供应商不能达到或不能完全履行承诺，采购方有权终止合同。</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cs="Times New Roman"/>
                <w:bCs/>
                <w:color w:val="000000"/>
                <w:sz w:val="24"/>
                <w:lang w:val="en-US" w:eastAsia="zh-CN"/>
              </w:rPr>
            </w:pPr>
            <w:r>
              <w:rPr>
                <w:rFonts w:hint="eastAsia" w:ascii="宋体" w:hAnsi="宋体" w:cs="Times New Roman"/>
                <w:bCs/>
                <w:color w:val="000000"/>
                <w:sz w:val="24"/>
                <w:lang w:val="en-US" w:eastAsia="zh-CN"/>
              </w:rPr>
              <w:t>5.所有服务执行完毕，合同履约完成后，投标人提供纸质的结项报告，包括并不限于合同承诺的服务、照片、视频等。</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（二）服务期限和付款方式</w:t>
            </w:r>
          </w:p>
          <w:p>
            <w:pPr>
              <w:widowControl/>
              <w:numPr>
                <w:ilvl w:val="0"/>
                <w:numId w:val="0"/>
              </w:numPr>
              <w:adjustRightInd w:val="0"/>
              <w:snapToGrid w:val="0"/>
              <w:spacing w:line="420" w:lineRule="exact"/>
              <w:ind w:firstLine="480" w:firstLineChars="200"/>
              <w:jc w:val="left"/>
              <w:rPr>
                <w:rFonts w:hint="eastAsia" w:ascii="宋体" w:hAnsi="宋体" w:eastAsia="宋体" w:cs="Times New Roman"/>
                <w:sz w:val="24"/>
              </w:rPr>
            </w:pPr>
            <w:r>
              <w:rPr>
                <w:rFonts w:hint="eastAsia"/>
                <w:sz w:val="24"/>
                <w:lang w:val="en-US" w:eastAsia="zh-CN"/>
              </w:rPr>
              <w:t>1</w:t>
            </w:r>
            <w:r>
              <w:rPr>
                <w:rFonts w:hint="eastAsia" w:ascii="宋体" w:hAnsi="宋体" w:cs="宋体"/>
                <w:kern w:val="28"/>
                <w:sz w:val="24"/>
                <w:lang w:val="en-US" w:eastAsia="zh-CN"/>
              </w:rPr>
              <w:t>.</w:t>
            </w:r>
            <w:r>
              <w:rPr>
                <w:rFonts w:hint="eastAsia"/>
                <w:sz w:val="24"/>
              </w:rPr>
              <w:t>服务</w:t>
            </w:r>
            <w:r>
              <w:rPr>
                <w:rFonts w:hint="eastAsia"/>
                <w:sz w:val="24"/>
                <w:lang w:val="en-US" w:eastAsia="zh-CN"/>
              </w:rPr>
              <w:t>期限</w:t>
            </w:r>
            <w:r>
              <w:rPr>
                <w:rFonts w:hint="eastAsia"/>
                <w:sz w:val="24"/>
                <w:lang w:eastAsia="zh-CN"/>
              </w:rPr>
              <w:t>：</w:t>
            </w:r>
            <w:r>
              <w:rPr>
                <w:rFonts w:hint="eastAsia"/>
                <w:sz w:val="24"/>
                <w:lang w:val="en-US" w:eastAsia="zh-CN"/>
              </w:rPr>
              <w:t>服务期至</w:t>
            </w:r>
            <w:r>
              <w:rPr>
                <w:rFonts w:hint="eastAsia"/>
                <w:sz w:val="24"/>
              </w:rPr>
              <w:t>项目实施完毕</w:t>
            </w:r>
            <w:r>
              <w:rPr>
                <w:rFonts w:hint="eastAsia" w:ascii="宋体" w:hAnsi="宋体" w:eastAsia="宋体" w:cs="Times New Roman"/>
                <w:sz w:val="24"/>
                <w:lang w:val="en-US" w:eastAsia="zh-CN"/>
              </w:rPr>
              <w:t>即</w:t>
            </w:r>
            <w:r>
              <w:rPr>
                <w:rFonts w:hint="eastAsia" w:ascii="宋体" w:hAnsi="宋体" w:eastAsia="宋体" w:cs="Times New Roman"/>
                <w:sz w:val="24"/>
              </w:rPr>
              <w:t>截止</w:t>
            </w:r>
            <w:r>
              <w:rPr>
                <w:rFonts w:hint="eastAsia" w:ascii="宋体" w:hAnsi="宋体" w:eastAsia="宋体" w:cs="Times New Roman"/>
                <w:sz w:val="24"/>
                <w:lang w:eastAsia="zh-CN"/>
              </w:rPr>
              <w:t>（</w:t>
            </w:r>
            <w:r>
              <w:rPr>
                <w:rFonts w:hint="eastAsia" w:ascii="宋体" w:hAnsi="宋体" w:eastAsia="宋体" w:cs="Times New Roman"/>
                <w:sz w:val="24"/>
              </w:rPr>
              <w:t>最终执行以合同签订为准</w:t>
            </w:r>
            <w:r>
              <w:rPr>
                <w:rFonts w:hint="eastAsia" w:ascii="宋体" w:hAnsi="宋体" w:eastAsia="宋体" w:cs="Times New Roman"/>
                <w:sz w:val="24"/>
                <w:lang w:eastAsia="zh-CN"/>
              </w:rPr>
              <w:t>）</w:t>
            </w:r>
            <w:r>
              <w:rPr>
                <w:rFonts w:hint="eastAsia" w:ascii="宋体" w:hAnsi="宋体" w:eastAsia="宋体" w:cs="Times New Roman"/>
                <w:sz w:val="24"/>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Times New Roman"/>
                <w:bCs/>
                <w:color w:val="000000"/>
                <w:sz w:val="24"/>
                <w:highlight w:val="yellow"/>
                <w:lang w:val="en-US" w:eastAsia="zh-CN"/>
              </w:rPr>
            </w:pPr>
            <w:r>
              <w:rPr>
                <w:rFonts w:hint="eastAsia" w:ascii="宋体" w:hAnsi="宋体" w:cs="Times New Roman"/>
                <w:bCs/>
                <w:color w:val="000000"/>
                <w:sz w:val="24"/>
                <w:lang w:val="en-US" w:eastAsia="zh-CN"/>
              </w:rPr>
              <w:t>2.付款方式：先服务后付款，全年按发布进度分两次据实结算（7月、10月各支付一次）。</w:t>
            </w:r>
            <w:r>
              <w:rPr>
                <w:rFonts w:hint="eastAsia" w:ascii="宋体" w:hAnsi="宋体" w:eastAsia="宋体" w:cs="宋体"/>
                <w:sz w:val="24"/>
                <w:szCs w:val="24"/>
              </w:rPr>
              <w:t>每次付款前，由供应商</w:t>
            </w:r>
            <w:r>
              <w:rPr>
                <w:rFonts w:hint="eastAsia" w:ascii="宋体" w:hAnsi="宋体" w:eastAsia="宋体" w:cs="宋体"/>
                <w:sz w:val="24"/>
                <w:szCs w:val="24"/>
                <w:lang w:val="en-US" w:eastAsia="zh-CN"/>
              </w:rPr>
              <w:t>出具付款金额的发票（发票需正规有效完整）及本批次已</w:t>
            </w:r>
            <w:r>
              <w:rPr>
                <w:rFonts w:hint="default" w:ascii="宋体" w:hAnsi="宋体" w:eastAsia="宋体" w:cs="宋体"/>
                <w:sz w:val="24"/>
                <w:szCs w:val="24"/>
                <w:lang w:val="en-US" w:eastAsia="zh-CN"/>
              </w:rPr>
              <w:t>验收合格的</w:t>
            </w:r>
            <w:r>
              <w:rPr>
                <w:rFonts w:hint="eastAsia" w:ascii="宋体" w:hAnsi="宋体" w:eastAsia="宋体" w:cs="宋体"/>
                <w:sz w:val="24"/>
                <w:szCs w:val="24"/>
                <w:lang w:val="en-US" w:eastAsia="zh-CN"/>
              </w:rPr>
              <w:t>所有广告宣传发布清单等资料交至采购方验收，采购方验收通过后，进入付款流程。结算尾款前，供应商还须将结项报告等其他必要资料一同送至采购方</w:t>
            </w:r>
            <w:r>
              <w:rPr>
                <w:rFonts w:hint="eastAsia"/>
                <w:sz w:val="24"/>
              </w:rPr>
              <w:t>，经采购方验收合格后，支付尾款</w:t>
            </w:r>
            <w:r>
              <w:rPr>
                <w:rFonts w:hint="eastAsia" w:ascii="宋体" w:hAnsi="宋体" w:eastAsia="宋体" w:cs="宋体"/>
                <w:sz w:val="24"/>
                <w:szCs w:val="24"/>
                <w:lang w:val="en-US" w:eastAsia="zh-CN"/>
              </w:rPr>
              <w:t>。无特殊情况下采购方在验收合格后10个工作日内完成付款。</w:t>
            </w:r>
          </w:p>
        </w:tc>
      </w:tr>
    </w:tbl>
    <w:p>
      <w:pPr>
        <w:pStyle w:val="2"/>
        <w:rPr>
          <w:rFonts w:hint="eastAsia"/>
        </w:rPr>
      </w:pPr>
    </w:p>
    <w:p>
      <w:pPr>
        <w:keepNext w:val="0"/>
        <w:keepLines w:val="0"/>
        <w:pageBreakBefore w:val="0"/>
        <w:kinsoku/>
        <w:wordWrap/>
        <w:overflowPunct/>
        <w:topLinePunct w:val="0"/>
        <w:autoSpaceDE/>
        <w:autoSpaceDN/>
        <w:bidi w:val="0"/>
        <w:adjustRightInd/>
        <w:spacing w:line="520" w:lineRule="exact"/>
        <w:textAlignment w:val="auto"/>
      </w:pPr>
    </w:p>
    <w:sectPr>
      <w:pgSz w:w="11906" w:h="16838"/>
      <w:pgMar w:top="1276" w:right="1800" w:bottom="64"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NlYzI4NTFkNzE3MzlkOTI3NTNiNGI4MTI4MjA4ZmMifQ=="/>
  </w:docVars>
  <w:rsids>
    <w:rsidRoot w:val="007D25F5"/>
    <w:rsid w:val="00022D13"/>
    <w:rsid w:val="00024D7C"/>
    <w:rsid w:val="00046854"/>
    <w:rsid w:val="00067659"/>
    <w:rsid w:val="00072EE1"/>
    <w:rsid w:val="00075A92"/>
    <w:rsid w:val="000A5447"/>
    <w:rsid w:val="00152109"/>
    <w:rsid w:val="00166DA8"/>
    <w:rsid w:val="00191F58"/>
    <w:rsid w:val="001B4D8B"/>
    <w:rsid w:val="001E1BCD"/>
    <w:rsid w:val="002121BB"/>
    <w:rsid w:val="002158CD"/>
    <w:rsid w:val="002338F1"/>
    <w:rsid w:val="002547E8"/>
    <w:rsid w:val="002A464C"/>
    <w:rsid w:val="002B33E1"/>
    <w:rsid w:val="002C5B01"/>
    <w:rsid w:val="002D3D48"/>
    <w:rsid w:val="003107F4"/>
    <w:rsid w:val="00314FBF"/>
    <w:rsid w:val="00412653"/>
    <w:rsid w:val="004614F5"/>
    <w:rsid w:val="004E1BDD"/>
    <w:rsid w:val="00520AD2"/>
    <w:rsid w:val="00542F01"/>
    <w:rsid w:val="00543D73"/>
    <w:rsid w:val="00555D78"/>
    <w:rsid w:val="0056502C"/>
    <w:rsid w:val="00570392"/>
    <w:rsid w:val="0057138D"/>
    <w:rsid w:val="00591BF5"/>
    <w:rsid w:val="005D1413"/>
    <w:rsid w:val="005E32F8"/>
    <w:rsid w:val="00604FAE"/>
    <w:rsid w:val="006107FD"/>
    <w:rsid w:val="00622FC2"/>
    <w:rsid w:val="00626F00"/>
    <w:rsid w:val="006404AF"/>
    <w:rsid w:val="00653AED"/>
    <w:rsid w:val="006544B6"/>
    <w:rsid w:val="006D03FE"/>
    <w:rsid w:val="00702F53"/>
    <w:rsid w:val="00776E36"/>
    <w:rsid w:val="007B47F5"/>
    <w:rsid w:val="007D25F5"/>
    <w:rsid w:val="007E4E2E"/>
    <w:rsid w:val="008139F6"/>
    <w:rsid w:val="008356FD"/>
    <w:rsid w:val="008550A8"/>
    <w:rsid w:val="008618F5"/>
    <w:rsid w:val="008763E3"/>
    <w:rsid w:val="00895EEC"/>
    <w:rsid w:val="00901971"/>
    <w:rsid w:val="00952092"/>
    <w:rsid w:val="00953DFB"/>
    <w:rsid w:val="009777F6"/>
    <w:rsid w:val="00985C1F"/>
    <w:rsid w:val="009B16FB"/>
    <w:rsid w:val="009E1410"/>
    <w:rsid w:val="00A126BC"/>
    <w:rsid w:val="00A15D2C"/>
    <w:rsid w:val="00A20B1C"/>
    <w:rsid w:val="00A25BD9"/>
    <w:rsid w:val="00A95B9E"/>
    <w:rsid w:val="00AB1693"/>
    <w:rsid w:val="00AD23DE"/>
    <w:rsid w:val="00AE089A"/>
    <w:rsid w:val="00AE3DBC"/>
    <w:rsid w:val="00B47050"/>
    <w:rsid w:val="00B93375"/>
    <w:rsid w:val="00BB41C8"/>
    <w:rsid w:val="00BF7B4C"/>
    <w:rsid w:val="00C51EC2"/>
    <w:rsid w:val="00C63F77"/>
    <w:rsid w:val="00C869F9"/>
    <w:rsid w:val="00CD6AC7"/>
    <w:rsid w:val="00CE22B2"/>
    <w:rsid w:val="00CF3110"/>
    <w:rsid w:val="00CF4D7E"/>
    <w:rsid w:val="00D1077C"/>
    <w:rsid w:val="00D14BDD"/>
    <w:rsid w:val="00D27CC6"/>
    <w:rsid w:val="00D51DE7"/>
    <w:rsid w:val="00D54EF7"/>
    <w:rsid w:val="00D736EA"/>
    <w:rsid w:val="00D80806"/>
    <w:rsid w:val="00DA07DA"/>
    <w:rsid w:val="00DD2DF5"/>
    <w:rsid w:val="00DE6BFB"/>
    <w:rsid w:val="00E033CA"/>
    <w:rsid w:val="00E06786"/>
    <w:rsid w:val="00E15723"/>
    <w:rsid w:val="00E2347D"/>
    <w:rsid w:val="00E36064"/>
    <w:rsid w:val="00E45726"/>
    <w:rsid w:val="00E71E0B"/>
    <w:rsid w:val="00E72E29"/>
    <w:rsid w:val="00EA561A"/>
    <w:rsid w:val="00EA5710"/>
    <w:rsid w:val="00EF758E"/>
    <w:rsid w:val="00F01407"/>
    <w:rsid w:val="00F101A9"/>
    <w:rsid w:val="00F232BE"/>
    <w:rsid w:val="00F333B1"/>
    <w:rsid w:val="00F34386"/>
    <w:rsid w:val="00F66598"/>
    <w:rsid w:val="00F7655A"/>
    <w:rsid w:val="00F92CFC"/>
    <w:rsid w:val="00FB76BA"/>
    <w:rsid w:val="011A7709"/>
    <w:rsid w:val="02517648"/>
    <w:rsid w:val="026A78FA"/>
    <w:rsid w:val="03124CC0"/>
    <w:rsid w:val="07181283"/>
    <w:rsid w:val="086230FE"/>
    <w:rsid w:val="088A7F5F"/>
    <w:rsid w:val="09641B5E"/>
    <w:rsid w:val="0A7F251E"/>
    <w:rsid w:val="0B29261C"/>
    <w:rsid w:val="0B330D82"/>
    <w:rsid w:val="0B870A2C"/>
    <w:rsid w:val="0C0B3A54"/>
    <w:rsid w:val="0D370AF7"/>
    <w:rsid w:val="0E2B5D40"/>
    <w:rsid w:val="0E4C4886"/>
    <w:rsid w:val="1371463C"/>
    <w:rsid w:val="138008DC"/>
    <w:rsid w:val="14DC6761"/>
    <w:rsid w:val="15805F08"/>
    <w:rsid w:val="16161084"/>
    <w:rsid w:val="1626576B"/>
    <w:rsid w:val="166816A0"/>
    <w:rsid w:val="166E61B7"/>
    <w:rsid w:val="16CA07EC"/>
    <w:rsid w:val="1AB7212F"/>
    <w:rsid w:val="1C5823F6"/>
    <w:rsid w:val="1CBD0578"/>
    <w:rsid w:val="1D033706"/>
    <w:rsid w:val="1DFA76D4"/>
    <w:rsid w:val="1E56053E"/>
    <w:rsid w:val="1ECE5E00"/>
    <w:rsid w:val="203C3F13"/>
    <w:rsid w:val="22EE79E7"/>
    <w:rsid w:val="26747E2C"/>
    <w:rsid w:val="27787DF0"/>
    <w:rsid w:val="27B92C6D"/>
    <w:rsid w:val="2A0B4F4C"/>
    <w:rsid w:val="2C141C83"/>
    <w:rsid w:val="2D8868B3"/>
    <w:rsid w:val="2DE47F8D"/>
    <w:rsid w:val="2E2E745B"/>
    <w:rsid w:val="2FD06CC7"/>
    <w:rsid w:val="31226EDF"/>
    <w:rsid w:val="314D68DE"/>
    <w:rsid w:val="31F76594"/>
    <w:rsid w:val="32EB1912"/>
    <w:rsid w:val="35E2734D"/>
    <w:rsid w:val="36CF725E"/>
    <w:rsid w:val="37CE0E6E"/>
    <w:rsid w:val="38D06F18"/>
    <w:rsid w:val="3B6E70E8"/>
    <w:rsid w:val="3BC87BD5"/>
    <w:rsid w:val="3C267A21"/>
    <w:rsid w:val="3DBD0EFD"/>
    <w:rsid w:val="41AC5781"/>
    <w:rsid w:val="42ED5EDC"/>
    <w:rsid w:val="43380EAB"/>
    <w:rsid w:val="436C1546"/>
    <w:rsid w:val="440A3726"/>
    <w:rsid w:val="44B149D9"/>
    <w:rsid w:val="45763392"/>
    <w:rsid w:val="45E901FB"/>
    <w:rsid w:val="49A70A85"/>
    <w:rsid w:val="4A266DE0"/>
    <w:rsid w:val="4B4D6D1A"/>
    <w:rsid w:val="4B742591"/>
    <w:rsid w:val="4B976BF0"/>
    <w:rsid w:val="4BFB49C8"/>
    <w:rsid w:val="4D800B9C"/>
    <w:rsid w:val="51373D63"/>
    <w:rsid w:val="51F855E4"/>
    <w:rsid w:val="55F91C0D"/>
    <w:rsid w:val="566F318D"/>
    <w:rsid w:val="57896E6B"/>
    <w:rsid w:val="5B4D107D"/>
    <w:rsid w:val="5B7C0161"/>
    <w:rsid w:val="5D0B433F"/>
    <w:rsid w:val="5E0B2748"/>
    <w:rsid w:val="5EE65064"/>
    <w:rsid w:val="5F677827"/>
    <w:rsid w:val="5FE00D6D"/>
    <w:rsid w:val="608D6D63"/>
    <w:rsid w:val="61A86601"/>
    <w:rsid w:val="62065A1D"/>
    <w:rsid w:val="65E9543A"/>
    <w:rsid w:val="65F3521C"/>
    <w:rsid w:val="65F60AD1"/>
    <w:rsid w:val="66325B6B"/>
    <w:rsid w:val="67955879"/>
    <w:rsid w:val="682B7F8C"/>
    <w:rsid w:val="6C3F035D"/>
    <w:rsid w:val="6D4B24CC"/>
    <w:rsid w:val="717304D6"/>
    <w:rsid w:val="738912AA"/>
    <w:rsid w:val="739A13E8"/>
    <w:rsid w:val="765855A2"/>
    <w:rsid w:val="76F320F2"/>
    <w:rsid w:val="77C15F56"/>
    <w:rsid w:val="78F817C4"/>
    <w:rsid w:val="79DD4919"/>
    <w:rsid w:val="7A113991"/>
    <w:rsid w:val="7DE00435"/>
    <w:rsid w:val="7FC8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2">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rPr>
      <w:rFonts w:ascii="Calibri" w:hAnsi="Calibri"/>
      <w:lang w:val="zh-CN"/>
    </w:rPr>
  </w:style>
  <w:style w:type="paragraph" w:styleId="5">
    <w:name w:val="Body Text"/>
    <w:basedOn w:val="1"/>
    <w:link w:val="18"/>
    <w:qFormat/>
    <w:uiPriority w:val="0"/>
    <w:pPr>
      <w:spacing w:after="120"/>
    </w:pPr>
  </w:style>
  <w:style w:type="paragraph" w:styleId="6">
    <w:name w:val="Body Text Indent"/>
    <w:basedOn w:val="1"/>
    <w:qFormat/>
    <w:uiPriority w:val="0"/>
    <w:pPr>
      <w:ind w:firstLine="630"/>
    </w:pPr>
    <w:rPr>
      <w:rFonts w:ascii="Calibri" w:hAnsi="Calibri" w:cs="Arial"/>
      <w:sz w:val="32"/>
      <w:szCs w:val="22"/>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0"/>
    <w:rPr>
      <w:sz w:val="21"/>
      <w:szCs w:val="21"/>
    </w:rPr>
  </w:style>
  <w:style w:type="paragraph" w:customStyle="1" w:styleId="14">
    <w:name w:val="无间隔1"/>
    <w:basedOn w:val="1"/>
    <w:qFormat/>
    <w:uiPriority w:val="0"/>
  </w:style>
  <w:style w:type="paragraph" w:customStyle="1" w:styleId="15">
    <w:name w:val="列表段落1"/>
    <w:basedOn w:val="1"/>
    <w:qFormat/>
    <w:uiPriority w:val="0"/>
    <w:pPr>
      <w:ind w:firstLine="200" w:firstLineChars="200"/>
    </w:pPr>
    <w:rPr>
      <w:rFonts w:ascii="Calibri" w:hAnsi="Calibri"/>
      <w:szCs w:val="22"/>
    </w:rPr>
  </w:style>
  <w:style w:type="character" w:customStyle="1" w:styleId="16">
    <w:name w:val="正文文本缩进 Char1"/>
    <w:basedOn w:val="12"/>
    <w:qFormat/>
    <w:uiPriority w:val="0"/>
    <w:rPr>
      <w:rFonts w:ascii="Times New Roman" w:hAnsi="Times New Roman" w:eastAsia="宋体" w:cs="Times New Roman"/>
      <w:szCs w:val="24"/>
    </w:rPr>
  </w:style>
  <w:style w:type="character" w:customStyle="1" w:styleId="17">
    <w:name w:val="页脚 字符"/>
    <w:qFormat/>
    <w:uiPriority w:val="0"/>
    <w:rPr>
      <w:kern w:val="2"/>
      <w:sz w:val="18"/>
      <w:szCs w:val="18"/>
    </w:rPr>
  </w:style>
  <w:style w:type="character" w:customStyle="1" w:styleId="18">
    <w:name w:val="正文文本 字符"/>
    <w:basedOn w:val="12"/>
    <w:link w:val="5"/>
    <w:qFormat/>
    <w:uiPriority w:val="0"/>
    <w:rPr>
      <w:kern w:val="2"/>
      <w:sz w:val="21"/>
      <w:szCs w:val="24"/>
    </w:rPr>
  </w:style>
  <w:style w:type="paragraph" w:customStyle="1" w:styleId="19">
    <w:name w:val="_Style 15"/>
    <w:basedOn w:val="1"/>
    <w:next w:val="20"/>
    <w:qFormat/>
    <w:uiPriority w:val="0"/>
    <w:pPr>
      <w:ind w:firstLine="420" w:firstLineChars="200"/>
    </w:pPr>
    <w:rPr>
      <w:rFonts w:eastAsia="仿宋_GB2312"/>
      <w:sz w:val="32"/>
    </w:rPr>
  </w:style>
  <w:style w:type="paragraph" w:styleId="20">
    <w:name w:val="List Paragraph"/>
    <w:basedOn w:val="1"/>
    <w:qFormat/>
    <w:uiPriority w:val="99"/>
    <w:pPr>
      <w:ind w:firstLine="420" w:firstLineChars="200"/>
    </w:pPr>
  </w:style>
  <w:style w:type="character" w:customStyle="1" w:styleId="21">
    <w:name w:val="批注文字 字符"/>
    <w:basedOn w:val="12"/>
    <w:qFormat/>
    <w:uiPriority w:val="0"/>
    <w:rPr>
      <w:kern w:val="2"/>
      <w:sz w:val="21"/>
      <w:szCs w:val="24"/>
    </w:rPr>
  </w:style>
  <w:style w:type="character" w:customStyle="1" w:styleId="22">
    <w:name w:val="批注文字 字符1"/>
    <w:link w:val="4"/>
    <w:qFormat/>
    <w:uiPriority w:val="0"/>
    <w:rPr>
      <w:rFonts w:ascii="Calibri" w:hAnsi="Calibri"/>
      <w:kern w:val="2"/>
      <w:sz w:val="21"/>
      <w:szCs w:val="24"/>
      <w:lang w:val="zh-CN" w:eastAsia="zh-CN"/>
    </w:rPr>
  </w:style>
  <w:style w:type="paragraph" w:customStyle="1" w:styleId="23">
    <w:name w:val="标准正文"/>
    <w:basedOn w:val="1"/>
    <w:next w:val="1"/>
    <w:qFormat/>
    <w:uiPriority w:val="0"/>
    <w:pPr>
      <w:adjustRightInd w:val="0"/>
      <w:snapToGrid w:val="0"/>
      <w:spacing w:line="300" w:lineRule="auto"/>
      <w:ind w:firstLine="200" w:firstLineChars="200"/>
    </w:pPr>
    <w:rPr>
      <w:sz w:val="24"/>
    </w:rPr>
  </w:style>
  <w:style w:type="paragraph" w:customStyle="1" w:styleId="24">
    <w:name w:val="正文2"/>
    <w:basedOn w:val="1"/>
    <w:next w:val="1"/>
    <w:qFormat/>
    <w:uiPriority w:val="0"/>
    <w:rPr>
      <w:rFonts w:ascii="仿宋_GB2312" w:eastAsia="仿宋_GB231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1887</Words>
  <Characters>1938</Characters>
  <Lines>13</Lines>
  <Paragraphs>3</Paragraphs>
  <TotalTime>0</TotalTime>
  <ScaleCrop>false</ScaleCrop>
  <LinksUpToDate>false</LinksUpToDate>
  <CharactersWithSpaces>1950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2019-10-23T03:21:00Z</dcterms:created>
  <dc:creator>admin</dc:creator>
  <cp:lastModifiedBy>飞☆伱莫属</cp:lastModifiedBy>
  <cp:lastPrinted>2021-06-30T09:37:00Z</cp:lastPrinted>
  <dcterms:modified xsi:type="dcterms:W3CDTF">2023-03-27T01:22:16Z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C6BC61BD29F141B8BDC79F4320AB5B9C</vt:lpwstr>
  </property>
</Properties>
</file>