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附件二：</w:t>
      </w:r>
    </w:p>
    <w:p>
      <w:pPr>
        <w:spacing w:line="600" w:lineRule="exact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四川省体育彩票管理中心</w:t>
      </w: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眉山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分中心</w:t>
      </w:r>
    </w:p>
    <w:p>
      <w:pPr>
        <w:spacing w:line="600" w:lineRule="exact"/>
        <w:jc w:val="center"/>
        <w:rPr>
          <w:rFonts w:hint="default" w:ascii="宋体" w:hAnsi="宋体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2022年代销门店店外广告投影灯宣传采购项目</w:t>
      </w:r>
    </w:p>
    <w:tbl>
      <w:tblPr>
        <w:tblStyle w:val="5"/>
        <w:tblW w:w="9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191"/>
        <w:gridCol w:w="2954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20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7545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四川省体育彩票管理中心眉山分中心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2022年代销门店店外广告投影灯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宣传采购项目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项目总预算（万元）</w:t>
            </w:r>
          </w:p>
        </w:tc>
        <w:tc>
          <w:tcPr>
            <w:tcW w:w="219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4.6</w:t>
            </w:r>
          </w:p>
        </w:tc>
        <w:tc>
          <w:tcPr>
            <w:tcW w:w="2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项目最高限价（万元）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2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采购方式</w:t>
            </w:r>
          </w:p>
        </w:tc>
        <w:tc>
          <w:tcPr>
            <w:tcW w:w="7545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低价中选（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√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）        综合评分（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9865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一、项目概述（介绍采购项目情况、用途等）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（一）</w:t>
            </w:r>
            <w:r>
              <w:rPr>
                <w:rFonts w:hint="default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为传递中国体育彩票责任、公益等品牌价值观，提升眉山体彩的品牌知名度及美誉度，扩大品牌影响力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，分中心拟向全市100家竞彩代销门店采购及安装店外广告投影灯。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（二）项目总预算4.6万元，项目最高限价4.6万元，超过限价的报价视为无效。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5" w:hRule="atLeast"/>
          <w:jc w:val="center"/>
        </w:trPr>
        <w:tc>
          <w:tcPr>
            <w:tcW w:w="9865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val="en-US" w:eastAsia="zh-CN"/>
              </w:rPr>
              <w:t>二、</w:t>
            </w: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项目技术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（服务）</w:t>
            </w: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需求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80" w:leftChars="0"/>
              <w:textAlignment w:val="auto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lang w:val="en-US" w:eastAsia="zh-CN" w:bidi="ar-SA"/>
              </w:rPr>
              <w:t>（一）服务要求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根据采购方提供的设计源文件制作投影灯内容，共计</w:t>
            </w: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100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个。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2、广告投影灯具体参数：（可旋转投射）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0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(1)广告投影灯机身为材质要求为铝合金及以上</w:t>
            </w: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0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(2)广告投影灯要求为户外防雨标准IP67</w:t>
            </w: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0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(3)投影灯光源为LED 灯珠，光源功率35瓦及以上，照射面积：2-5平方米</w:t>
            </w: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0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(4)投影灯镜片要求：四倍成像镜片以上的彩色镜片</w:t>
            </w: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0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(5)超清投影，6片装光学透镜</w:t>
            </w: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0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(6)支架：坚固。无生锈、无变形</w:t>
            </w: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0"/>
              <w:textAlignment w:val="auto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(7)工作方式：带遥控、可旋转投射灯光片。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宋体" w:cs="宋体"/>
                <w:sz w:val="24"/>
                <w:szCs w:val="22"/>
              </w:rPr>
            </w:pPr>
            <w:r>
              <w:rPr>
                <w:rFonts w:hint="eastAsia" w:ascii="宋体" w:cs="宋体"/>
                <w:sz w:val="24"/>
                <w:szCs w:val="22"/>
                <w:lang w:val="en-US" w:eastAsia="zh-CN"/>
              </w:rPr>
              <w:t>3、</w:t>
            </w:r>
            <w:r>
              <w:rPr>
                <w:rFonts w:hint="eastAsia" w:ascii="宋体" w:cs="宋体"/>
                <w:sz w:val="24"/>
                <w:szCs w:val="22"/>
              </w:rPr>
              <w:t>投影内容为采购方提供特定内容。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80" w:leftChars="0"/>
              <w:textAlignment w:val="auto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8"/>
                <w:lang w:val="en-US" w:eastAsia="zh-CN" w:bidi="ar-SA"/>
              </w:rPr>
              <w:t>（二）时间要求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80" w:left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自合同签订之日起15个自然日内完成所有投放广告投影灯的制作及安装调试工作。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  <w:jc w:val="center"/>
        </w:trPr>
        <w:tc>
          <w:tcPr>
            <w:tcW w:w="9865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val="en-US" w:eastAsia="zh-CN"/>
              </w:rPr>
              <w:t>三、售后服务要求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80" w:leftChars="0"/>
              <w:textAlignment w:val="auto"/>
              <w:rPr>
                <w:rFonts w:hint="eastAsia" w:ascii="宋体" w:hAnsi="Times New Roman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cs="宋体" w:eastAsiaTheme="minorEastAsia"/>
                <w:kern w:val="2"/>
                <w:sz w:val="24"/>
                <w:szCs w:val="24"/>
                <w:lang w:val="en-US" w:eastAsia="zh-CN" w:bidi="ar-SA"/>
              </w:rPr>
              <w:t>1、中标</w:t>
            </w:r>
            <w:r>
              <w:rPr>
                <w:rFonts w:hint="default" w:ascii="宋体" w:hAnsi="Times New Roman" w:cs="宋体" w:eastAsiaTheme="minorEastAsia"/>
                <w:kern w:val="2"/>
                <w:sz w:val="24"/>
                <w:szCs w:val="24"/>
                <w:lang w:val="en-US" w:eastAsia="zh-CN" w:bidi="ar-SA"/>
              </w:rPr>
              <w:t>供应商需在采购</w:t>
            </w:r>
            <w:r>
              <w:rPr>
                <w:rFonts w:hint="eastAsia" w:ascii="宋体" w:hAnsi="Times New Roman" w:cs="宋体" w:eastAsiaTheme="minorEastAsia"/>
                <w:kern w:val="2"/>
                <w:sz w:val="24"/>
                <w:szCs w:val="24"/>
                <w:lang w:val="en-US" w:eastAsia="zh-CN" w:bidi="ar-SA"/>
              </w:rPr>
              <w:t>方规定</w:t>
            </w:r>
            <w:r>
              <w:rPr>
                <w:rFonts w:hint="default" w:ascii="宋体" w:hAnsi="Times New Roman" w:cs="宋体" w:eastAsiaTheme="minorEastAsia"/>
                <w:kern w:val="2"/>
                <w:sz w:val="24"/>
                <w:szCs w:val="24"/>
                <w:lang w:val="en-US" w:eastAsia="zh-CN" w:bidi="ar-SA"/>
              </w:rPr>
              <w:t>时间、</w:t>
            </w:r>
            <w:r>
              <w:rPr>
                <w:rFonts w:hint="eastAsia" w:ascii="宋体" w:hAnsi="Times New Roman" w:cs="宋体" w:eastAsiaTheme="minorEastAsia"/>
                <w:kern w:val="2"/>
                <w:sz w:val="24"/>
                <w:szCs w:val="24"/>
                <w:lang w:val="en-US" w:eastAsia="zh-CN" w:bidi="ar-SA"/>
              </w:rPr>
              <w:t>指定</w:t>
            </w:r>
            <w:r>
              <w:rPr>
                <w:rFonts w:hint="default" w:ascii="宋体" w:hAnsi="Times New Roman" w:cs="宋体" w:eastAsiaTheme="minorEastAsia"/>
                <w:kern w:val="2"/>
                <w:sz w:val="24"/>
                <w:szCs w:val="24"/>
                <w:lang w:val="en-US" w:eastAsia="zh-CN" w:bidi="ar-SA"/>
              </w:rPr>
              <w:t>地点</w:t>
            </w:r>
            <w:r>
              <w:rPr>
                <w:rFonts w:hint="eastAsia" w:ascii="宋体" w:hAnsi="Times New Roman" w:cs="宋体" w:eastAsiaTheme="minorEastAsia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default" w:ascii="宋体" w:hAnsi="Times New Roman" w:cs="宋体" w:eastAsiaTheme="minorEastAsia"/>
                <w:kern w:val="2"/>
                <w:sz w:val="24"/>
                <w:szCs w:val="24"/>
                <w:lang w:val="en-US" w:eastAsia="zh-CN" w:bidi="ar-SA"/>
              </w:rPr>
              <w:t>投影灯的安装、调试服务</w:t>
            </w:r>
            <w:r>
              <w:rPr>
                <w:rFonts w:hint="eastAsia" w:ascii="宋体" w:hAnsi="Times New Roman" w:cs="宋体" w:eastAsiaTheme="minorEastAsia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80" w:leftChars="0"/>
              <w:textAlignment w:val="auto"/>
              <w:rPr>
                <w:rFonts w:hint="eastAsia" w:ascii="宋体" w:hAnsi="Times New Roman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cs="宋体" w:eastAsiaTheme="minorEastAsia"/>
                <w:kern w:val="2"/>
                <w:sz w:val="24"/>
                <w:szCs w:val="24"/>
                <w:lang w:val="en-US" w:eastAsia="zh-CN" w:bidi="ar-SA"/>
              </w:rPr>
              <w:t>2、有专人负责售后服务，在采购方提出售后服务需求时24小时内给予响应。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80" w:leftChars="0"/>
              <w:textAlignment w:val="auto"/>
              <w:rPr>
                <w:rFonts w:hint="eastAsia" w:ascii="宋体" w:hAnsi="Times New Roman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cs="宋体" w:eastAsiaTheme="minorEastAsia"/>
                <w:kern w:val="2"/>
                <w:sz w:val="24"/>
                <w:szCs w:val="24"/>
                <w:lang w:val="en-US" w:eastAsia="zh-CN" w:bidi="ar-SA"/>
              </w:rPr>
              <w:t>3、中标后，供应商应先提供样品由采购方验收，待采购方验收合格后签订正式合同进行采购。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80" w:leftChars="0"/>
              <w:textAlignment w:val="auto"/>
              <w:rPr>
                <w:rFonts w:hint="eastAsia" w:ascii="宋体" w:hAnsi="Times New Roman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cs="宋体" w:eastAsiaTheme="minorEastAsia"/>
                <w:kern w:val="2"/>
                <w:sz w:val="24"/>
                <w:szCs w:val="24"/>
                <w:lang w:val="en-US" w:eastAsia="zh-CN" w:bidi="ar-SA"/>
              </w:rPr>
              <w:t>4、产品质量应不低于采购人确认的样品质量，否则供应商须无条件重新制作。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80" w:leftChars="0"/>
              <w:textAlignment w:val="auto"/>
              <w:rPr>
                <w:rFonts w:hint="eastAsia" w:ascii="宋体" w:hAnsi="Times New Roman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cs="宋体" w:eastAsiaTheme="minorEastAsia"/>
                <w:kern w:val="2"/>
                <w:sz w:val="24"/>
                <w:szCs w:val="24"/>
                <w:lang w:val="en-US" w:eastAsia="zh-CN" w:bidi="ar-SA"/>
              </w:rPr>
              <w:t>5、有任何非人为的质量问题导致产品无法使用的，在1年内负责免费包修、包换、包退。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80" w:leftChars="0"/>
              <w:textAlignment w:val="auto"/>
            </w:pPr>
            <w:r>
              <w:rPr>
                <w:rFonts w:hint="eastAsia" w:ascii="宋体" w:hAnsi="Times New Roman" w:cs="宋体" w:eastAsiaTheme="minorEastAsia"/>
                <w:kern w:val="2"/>
                <w:sz w:val="24"/>
                <w:szCs w:val="24"/>
                <w:lang w:val="en-US" w:eastAsia="zh-CN" w:bidi="ar-SA"/>
              </w:rPr>
              <w:t>6、在合同执行完毕后，提供书面结项报告。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9865" w:type="dxa"/>
            <w:gridSpan w:val="4"/>
            <w:shd w:val="clear" w:color="auto" w:fill="auto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eastAsia" w:ascii="宋体"/>
                <w:b/>
                <w:color w:val="000000"/>
                <w:sz w:val="28"/>
                <w:szCs w:val="28"/>
              </w:rPr>
              <w:t>安装地点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default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采购方指定全市范围内的</w:t>
            </w: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100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家竞彩代销门店，其中市区</w:t>
            </w: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57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家</w:t>
            </w: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（全城区）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仁寿县18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家</w:t>
            </w: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（城区16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家、乡镇2家）、彭山区12家（城区11家、乡镇1家）、洪雅县8家（全城区）、丹棱县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2家</w:t>
            </w: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（全城区）、青神县3家（全城区）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具体广告投影灯安装点位明细由采购方提供。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4" w:hRule="atLeast"/>
          <w:jc w:val="center"/>
        </w:trPr>
        <w:tc>
          <w:tcPr>
            <w:tcW w:w="9865" w:type="dxa"/>
            <w:gridSpan w:val="4"/>
            <w:shd w:val="clear" w:color="auto" w:fill="auto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sz w:val="28"/>
                <w:szCs w:val="28"/>
                <w:lang w:val="en-US" w:eastAsia="zh-CN"/>
              </w:rPr>
              <w:t>五、付款方式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先服务后付款。在供应商完成广告投影灯制作及全部100家代销门店安装完毕后，由供应商提供普通增值税发票、结项报告等相关资料，待采购方审核通过后一次性向乙方转账支付合同款项。 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1302385</wp:posOffset>
                  </wp:positionH>
                  <wp:positionV relativeFrom="paragraph">
                    <wp:posOffset>374015</wp:posOffset>
                  </wp:positionV>
                  <wp:extent cx="3672205" cy="2674620"/>
                  <wp:effectExtent l="0" t="0" r="4445" b="1143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205" cy="267462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rou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eastAsia="宋体"/>
                <w:b/>
                <w:color w:val="000000"/>
                <w:sz w:val="28"/>
                <w:szCs w:val="28"/>
                <w:lang w:val="en-US" w:eastAsia="zh-CN"/>
              </w:rPr>
              <w:t>广告投影灯</w:t>
            </w:r>
            <w:r>
              <w:rPr>
                <w:rFonts w:hint="eastAsia" w:ascii="宋体" w:eastAsia="宋体"/>
                <w:b/>
                <w:color w:val="000000"/>
                <w:sz w:val="28"/>
                <w:szCs w:val="28"/>
              </w:rPr>
              <w:t>投影内容</w:t>
            </w:r>
            <w:r>
              <w:rPr>
                <w:rFonts w:hint="eastAsia" w:ascii="宋体" w:eastAsia="宋体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eastAsia="宋体"/>
                <w:b/>
                <w:color w:val="000000"/>
                <w:sz w:val="28"/>
                <w:szCs w:val="28"/>
                <w:lang w:val="en-US" w:eastAsia="zh-CN"/>
              </w:rPr>
              <w:t>参看</w:t>
            </w:r>
            <w:r>
              <w:rPr>
                <w:rFonts w:hint="eastAsia" w:ascii="宋体" w:eastAsia="宋体"/>
                <w:b/>
                <w:color w:val="000000"/>
                <w:sz w:val="28"/>
                <w:szCs w:val="28"/>
              </w:rPr>
              <w:t>图案</w:t>
            </w:r>
            <w:r>
              <w:rPr>
                <w:rFonts w:hint="eastAsia" w:ascii="宋体" w:eastAsia="宋体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802EBD"/>
    <w:multiLevelType w:val="singleLevel"/>
    <w:tmpl w:val="34802E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YzI4NTFkNzE3MzlkOTI3NTNiNGI4MTI4MjA4ZmMifQ=="/>
  </w:docVars>
  <w:rsids>
    <w:rsidRoot w:val="00000000"/>
    <w:rsid w:val="0098388D"/>
    <w:rsid w:val="01885B7B"/>
    <w:rsid w:val="03460600"/>
    <w:rsid w:val="053E2C54"/>
    <w:rsid w:val="056A3A4A"/>
    <w:rsid w:val="07373DFF"/>
    <w:rsid w:val="077C0C7C"/>
    <w:rsid w:val="086F1377"/>
    <w:rsid w:val="087904C2"/>
    <w:rsid w:val="08A45B27"/>
    <w:rsid w:val="08A52FEB"/>
    <w:rsid w:val="099C36AB"/>
    <w:rsid w:val="0BA21EFB"/>
    <w:rsid w:val="0D384C99"/>
    <w:rsid w:val="11362B63"/>
    <w:rsid w:val="12C10946"/>
    <w:rsid w:val="132B3775"/>
    <w:rsid w:val="14B54700"/>
    <w:rsid w:val="14CB3DD9"/>
    <w:rsid w:val="15017368"/>
    <w:rsid w:val="187171DD"/>
    <w:rsid w:val="19747668"/>
    <w:rsid w:val="1A7B453A"/>
    <w:rsid w:val="1C3A271C"/>
    <w:rsid w:val="1CFF2872"/>
    <w:rsid w:val="23403BE4"/>
    <w:rsid w:val="240B487F"/>
    <w:rsid w:val="24827899"/>
    <w:rsid w:val="25A72B5A"/>
    <w:rsid w:val="27F35A34"/>
    <w:rsid w:val="28BD7809"/>
    <w:rsid w:val="28C52BC1"/>
    <w:rsid w:val="29CC12EB"/>
    <w:rsid w:val="2B2630A3"/>
    <w:rsid w:val="2B840DEB"/>
    <w:rsid w:val="2FE15ACC"/>
    <w:rsid w:val="301D1535"/>
    <w:rsid w:val="34F43E08"/>
    <w:rsid w:val="37527EE8"/>
    <w:rsid w:val="3A1E22DA"/>
    <w:rsid w:val="3B1542C4"/>
    <w:rsid w:val="3B750477"/>
    <w:rsid w:val="3B9034CD"/>
    <w:rsid w:val="3BDA095D"/>
    <w:rsid w:val="3C3A346E"/>
    <w:rsid w:val="3DD659F2"/>
    <w:rsid w:val="3E015975"/>
    <w:rsid w:val="415351F7"/>
    <w:rsid w:val="41994A76"/>
    <w:rsid w:val="42927B60"/>
    <w:rsid w:val="42A836B8"/>
    <w:rsid w:val="431247FD"/>
    <w:rsid w:val="43162B45"/>
    <w:rsid w:val="46301592"/>
    <w:rsid w:val="479A54F2"/>
    <w:rsid w:val="47DD243F"/>
    <w:rsid w:val="49A10689"/>
    <w:rsid w:val="4AE90539"/>
    <w:rsid w:val="4D023B34"/>
    <w:rsid w:val="4DCC28BC"/>
    <w:rsid w:val="4DF90D6D"/>
    <w:rsid w:val="4EFD45B3"/>
    <w:rsid w:val="54E1467B"/>
    <w:rsid w:val="5CCE758F"/>
    <w:rsid w:val="5FAB2160"/>
    <w:rsid w:val="6037544B"/>
    <w:rsid w:val="603E2C7E"/>
    <w:rsid w:val="60883E8C"/>
    <w:rsid w:val="619E1C26"/>
    <w:rsid w:val="63D556A7"/>
    <w:rsid w:val="67835B4B"/>
    <w:rsid w:val="6A715519"/>
    <w:rsid w:val="6BD2780C"/>
    <w:rsid w:val="6BF51DFF"/>
    <w:rsid w:val="6D3031BD"/>
    <w:rsid w:val="6E5E727F"/>
    <w:rsid w:val="6F503DBF"/>
    <w:rsid w:val="72C8339C"/>
    <w:rsid w:val="74A471DF"/>
    <w:rsid w:val="76293110"/>
    <w:rsid w:val="77902CDE"/>
    <w:rsid w:val="78014688"/>
    <w:rsid w:val="780C623C"/>
    <w:rsid w:val="7AA26DEE"/>
    <w:rsid w:val="7B5E0897"/>
    <w:rsid w:val="7F480FCB"/>
    <w:rsid w:val="7F48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7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80" w:after="180"/>
    </w:pPr>
  </w:style>
  <w:style w:type="paragraph" w:styleId="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annotation reference"/>
    <w:basedOn w:val="7"/>
    <w:unhideWhenUsed/>
    <w:qFormat/>
    <w:uiPriority w:val="0"/>
    <w:rPr>
      <w:sz w:val="21"/>
      <w:szCs w:val="21"/>
    </w:rPr>
  </w:style>
  <w:style w:type="paragraph" w:customStyle="1" w:styleId="9">
    <w:name w:val="无间隔1"/>
    <w:basedOn w:val="1"/>
    <w:qFormat/>
    <w:uiPriority w:val="0"/>
  </w:style>
  <w:style w:type="paragraph" w:customStyle="1" w:styleId="10">
    <w:name w:val="标准正文"/>
    <w:basedOn w:val="1"/>
    <w:next w:val="1"/>
    <w:qFormat/>
    <w:uiPriority w:val="0"/>
    <w:pPr>
      <w:adjustRightInd w:val="0"/>
      <w:snapToGrid w:val="0"/>
      <w:spacing w:line="300" w:lineRule="auto"/>
      <w:ind w:firstLine="200" w:firstLineChars="200"/>
    </w:pPr>
    <w:rPr>
      <w:sz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954</Words>
  <Characters>1005</Characters>
  <Lines>0</Lines>
  <Paragraphs>0</Paragraphs>
  <TotalTime>4</TotalTime>
  <ScaleCrop>false</ScaleCrop>
  <LinksUpToDate>false</LinksUpToDate>
  <CharactersWithSpaces>1019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2022-02-24T01:55:00Z</dcterms:created>
  <dc:creator>LENOVO</dc:creator>
  <cp:lastModifiedBy>飞☆伱莫属</cp:lastModifiedBy>
  <dcterms:modified xsi:type="dcterms:W3CDTF">2022-07-25T06:29:07Z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8DBD24A915CB40EC91B9CE61CE998B36</vt:lpwstr>
  </property>
</Properties>
</file>